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2D" w:rsidRPr="00525D2B" w:rsidRDefault="0019392D" w:rsidP="0019392D">
      <w:pPr>
        <w:spacing w:line="240" w:lineRule="atLeast"/>
        <w:ind w:left="3545" w:firstLine="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ПРИЛОЖЕНИЕ № 1</w:t>
      </w:r>
    </w:p>
    <w:p w:rsidR="0019392D" w:rsidRDefault="0019392D" w:rsidP="0019392D">
      <w:pPr>
        <w:spacing w:line="360" w:lineRule="atLeast"/>
        <w:ind w:left="3544"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5D2B">
        <w:rPr>
          <w:rFonts w:ascii="Times New Roman" w:eastAsia="Times New Roman" w:hAnsi="Times New Roman" w:cs="Times New Roman"/>
          <w:sz w:val="28"/>
          <w:szCs w:val="20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Порядку </w:t>
      </w:r>
      <w:r w:rsidRPr="00525D2B">
        <w:rPr>
          <w:rFonts w:ascii="Times New Roman" w:eastAsia="Times New Roman" w:hAnsi="Times New Roman" w:cs="Times New Roman"/>
          <w:sz w:val="28"/>
          <w:szCs w:val="20"/>
        </w:rPr>
        <w:t>предоставления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лицами, выполняющими переоборудование, скидки владельцам транспортных средств на указанные работы</w:t>
      </w:r>
    </w:p>
    <w:p w:rsidR="0019392D" w:rsidRDefault="0019392D" w:rsidP="0019392D">
      <w:pPr>
        <w:spacing w:line="360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392D" w:rsidRDefault="0019392D" w:rsidP="0019392D">
      <w:pPr>
        <w:spacing w:line="360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392D" w:rsidRDefault="0019392D" w:rsidP="0019392D">
      <w:pPr>
        <w:spacing w:line="360" w:lineRule="auto"/>
        <w:ind w:left="5670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Департамент энергетики и транспорта …… области от (наименование, местонахождение, ИНН, телефон, электронная почта</w:t>
      </w:r>
      <w:proofErr w:type="gramEnd"/>
    </w:p>
    <w:p w:rsidR="0019392D" w:rsidRDefault="0019392D" w:rsidP="0019392D">
      <w:pPr>
        <w:spacing w:line="360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392D" w:rsidRDefault="0019392D" w:rsidP="0019392D">
      <w:pPr>
        <w:spacing w:line="360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О ПРЕДОСТАВЛЕНИИ СУБСИДИИ</w:t>
      </w:r>
    </w:p>
    <w:p w:rsidR="0019392D" w:rsidRDefault="0019392D" w:rsidP="0019392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(наименование) в лице _____________ действующего на основании___________, просит </w:t>
      </w:r>
      <w:r w:rsidRPr="00176CDA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 энергетики и транспорта …… области в соответствии с Соглашением от 25 марта 2020 №</w:t>
      </w:r>
      <w:r w:rsidRPr="00176CDA">
        <w:rPr>
          <w:rFonts w:ascii="Times New Roman" w:hAnsi="Times New Roman" w:cs="Times New Roman"/>
          <w:sz w:val="28"/>
          <w:szCs w:val="28"/>
        </w:rPr>
        <w:t> 333</w:t>
      </w:r>
      <w:r w:rsidRPr="00176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предоставить (наименование) субсидию в сумме (сумма, рублей) на </w:t>
      </w:r>
      <w:r w:rsidRPr="00176CDA">
        <w:rPr>
          <w:rFonts w:ascii="Times New Roman" w:hAnsi="Times New Roman"/>
          <w:sz w:val="28"/>
          <w:szCs w:val="28"/>
        </w:rPr>
        <w:t xml:space="preserve">возмещение недополученных </w:t>
      </w:r>
      <w:r w:rsidRPr="00145F1C">
        <w:rPr>
          <w:rFonts w:ascii="Times New Roman" w:hAnsi="Times New Roman"/>
          <w:sz w:val="28"/>
          <w:szCs w:val="28"/>
        </w:rPr>
        <w:t xml:space="preserve">доходов </w:t>
      </w:r>
      <w:r>
        <w:rPr>
          <w:rFonts w:ascii="Times New Roman" w:hAnsi="Times New Roman"/>
          <w:sz w:val="28"/>
          <w:szCs w:val="28"/>
        </w:rPr>
        <w:t>в связи с предоставлением владельцам транспортных средств, указанных в приложении к настоящему заявлению, скидки на выполнение работ</w:t>
      </w:r>
      <w:r w:rsidRPr="00145F1C">
        <w:rPr>
          <w:rFonts w:ascii="Times New Roman" w:hAnsi="Times New Roman"/>
          <w:sz w:val="28"/>
          <w:szCs w:val="28"/>
        </w:rPr>
        <w:t xml:space="preserve"> по переоборудованию транспортных средств на использование природного газа (метан</w:t>
      </w:r>
      <w:r>
        <w:rPr>
          <w:rFonts w:ascii="Times New Roman" w:hAnsi="Times New Roman"/>
          <w:sz w:val="28"/>
          <w:szCs w:val="28"/>
        </w:rPr>
        <w:t>а) в качестве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моторного топлива.</w:t>
      </w:r>
    </w:p>
    <w:p w:rsidR="0019392D" w:rsidRDefault="0019392D" w:rsidP="0019392D">
      <w:pPr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Del="006770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(наименование) подтверждает;</w:t>
      </w:r>
    </w:p>
    <w:p w:rsidR="0019392D" w:rsidRDefault="0019392D" w:rsidP="0019392D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соответствие на дату подачи настоящего заявления требованиям, предусмотренным пунктом 7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Порядка </w:t>
      </w:r>
      <w:r w:rsidRPr="00525D2B">
        <w:rPr>
          <w:rFonts w:ascii="Times New Roman" w:eastAsia="Times New Roman" w:hAnsi="Times New Roman" w:cs="Times New Roman"/>
          <w:sz w:val="28"/>
          <w:szCs w:val="20"/>
        </w:rPr>
        <w:t xml:space="preserve">предоставления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лицами, выполняющими переоборудование, </w:t>
      </w:r>
      <w:r w:rsidRPr="00525D2B">
        <w:rPr>
          <w:rFonts w:ascii="Times New Roman" w:eastAsia="Times New Roman" w:hAnsi="Times New Roman" w:cs="Times New Roman"/>
          <w:sz w:val="28"/>
          <w:szCs w:val="20"/>
        </w:rPr>
        <w:lastRenderedPageBreak/>
        <w:t>скидки владельцам транспортных средств на указанные работы</w:t>
      </w:r>
      <w:r>
        <w:rPr>
          <w:rFonts w:ascii="Times New Roman" w:eastAsia="Times New Roman" w:hAnsi="Times New Roman" w:cs="Times New Roman"/>
          <w:sz w:val="28"/>
          <w:szCs w:val="20"/>
        </w:rPr>
        <w:t>, утвержденного постановлением Правительства ……. области от № (далее – Порядок);</w:t>
      </w:r>
      <w:proofErr w:type="gramEnd"/>
    </w:p>
    <w:p w:rsidR="0019392D" w:rsidRDefault="0019392D" w:rsidP="001939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соответствие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стоимости работ по переоборудованию, в том числе стоимости установленных </w:t>
      </w:r>
      <w:r>
        <w:rPr>
          <w:rFonts w:ascii="Times New Roman" w:hAnsi="Times New Roman" w:cs="Times New Roman"/>
          <w:sz w:val="28"/>
          <w:szCs w:val="28"/>
        </w:rPr>
        <w:t>газового баллона и подкапотного оборудования и работ по их установке ценам на такие компоненты и работы, обычно используемыми при выполнении аналогичных работ по  переоборудованию.</w:t>
      </w:r>
    </w:p>
    <w:p w:rsidR="0019392D" w:rsidRDefault="0019392D" w:rsidP="0019392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заявлению прилагаются документы, предусмотренные пунктом 17 Порядка, подтверждающие соответствие переоборудованных транспортных средств, используемого газобаллонного</w:t>
      </w:r>
      <w:r w:rsidRP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борудования, его компонентов, комплектующих, </w:t>
      </w:r>
      <w:r w:rsidRP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енных работ</w:t>
      </w:r>
      <w:r w:rsidRP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переобор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удованию требованиям, предусмотренным пунктом 16 Порядка, размер скидки, предоставленной владельцу транспортного средства, и размер субсидии.</w:t>
      </w:r>
      <w:proofErr w:type="gramEnd"/>
    </w:p>
    <w:p w:rsidR="0019392D" w:rsidRDefault="0019392D" w:rsidP="0019392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392D" w:rsidRDefault="0019392D" w:rsidP="0019392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подпись/расшифровка подписи</w:t>
      </w:r>
    </w:p>
    <w:p w:rsidR="0019392D" w:rsidRDefault="0019392D" w:rsidP="0019392D">
      <w:pPr>
        <w:spacing w:line="360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392D" w:rsidRDefault="0019392D" w:rsidP="0019392D">
      <w:pPr>
        <w:spacing w:line="360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19392D" w:rsidSect="00BD506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9392D" w:rsidRDefault="0019392D" w:rsidP="0019392D">
      <w:pPr>
        <w:spacing w:line="360" w:lineRule="auto"/>
        <w:ind w:firstLine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F03E98">
        <w:rPr>
          <w:rFonts w:ascii="Times New Roman" w:eastAsiaTheme="minorHAnsi" w:hAnsi="Times New Roman" w:cs="Times New Roman"/>
          <w:sz w:val="32"/>
          <w:szCs w:val="32"/>
          <w:lang w:eastAsia="en-US"/>
        </w:rPr>
        <w:lastRenderedPageBreak/>
        <w:t>Приложение к заявлению о предоставлении субсидии</w:t>
      </w:r>
    </w:p>
    <w:p w:rsidR="0019392D" w:rsidRPr="00F03E98" w:rsidRDefault="0019392D" w:rsidP="0019392D">
      <w:pPr>
        <w:spacing w:line="360" w:lineRule="auto"/>
        <w:ind w:firstLine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1992"/>
        <w:gridCol w:w="2489"/>
        <w:gridCol w:w="1211"/>
        <w:gridCol w:w="1826"/>
        <w:gridCol w:w="938"/>
        <w:gridCol w:w="1825"/>
        <w:gridCol w:w="2327"/>
        <w:gridCol w:w="1650"/>
      </w:tblGrid>
      <w:tr w:rsidR="0019392D" w:rsidTr="005E10C2">
        <w:tc>
          <w:tcPr>
            <w:tcW w:w="528" w:type="dxa"/>
            <w:vMerge w:val="restart"/>
            <w:vAlign w:val="center"/>
          </w:tcPr>
          <w:p w:rsidR="0019392D" w:rsidRDefault="0019392D" w:rsidP="005E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92" w:type="dxa"/>
            <w:vMerge w:val="restart"/>
            <w:vAlign w:val="center"/>
          </w:tcPr>
          <w:p w:rsidR="0019392D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транспортного средства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2489" w:type="dxa"/>
            <w:vMerge w:val="restart"/>
            <w:vAlign w:val="center"/>
          </w:tcPr>
          <w:p w:rsidR="0019392D" w:rsidRPr="008B6000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8B6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6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транспортного средства</w:t>
            </w:r>
          </w:p>
          <w:p w:rsidR="0019392D" w:rsidRPr="00802BDC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(К111КК97)</w:t>
            </w:r>
          </w:p>
        </w:tc>
        <w:tc>
          <w:tcPr>
            <w:tcW w:w="1211" w:type="dxa"/>
            <w:vMerge w:val="restart"/>
            <w:vAlign w:val="center"/>
          </w:tcPr>
          <w:p w:rsidR="0019392D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4589" w:type="dxa"/>
            <w:gridSpan w:val="3"/>
            <w:vAlign w:val="center"/>
          </w:tcPr>
          <w:p w:rsidR="0019392D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Газовый баллон</w:t>
            </w:r>
          </w:p>
        </w:tc>
        <w:tc>
          <w:tcPr>
            <w:tcW w:w="2327" w:type="dxa"/>
            <w:vMerge w:val="restart"/>
            <w:vAlign w:val="center"/>
          </w:tcPr>
          <w:p w:rsidR="0019392D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Полная стоимость установки газобаллонного оборудования, включая стоимость оборудования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комплектующих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9392D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50" w:type="dxa"/>
            <w:vMerge w:val="restart"/>
            <w:vAlign w:val="center"/>
          </w:tcPr>
          <w:p w:rsidR="0019392D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субсидии,</w:t>
            </w:r>
          </w:p>
          <w:p w:rsidR="0019392D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9392D" w:rsidTr="005E10C2">
        <w:tc>
          <w:tcPr>
            <w:tcW w:w="528" w:type="dxa"/>
            <w:vMerge/>
          </w:tcPr>
          <w:p w:rsidR="0019392D" w:rsidRDefault="0019392D" w:rsidP="005E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19392D" w:rsidRDefault="0019392D" w:rsidP="005E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vMerge/>
          </w:tcPr>
          <w:p w:rsidR="0019392D" w:rsidRDefault="0019392D" w:rsidP="005E1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19392D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19392D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938" w:type="dxa"/>
            <w:vAlign w:val="center"/>
          </w:tcPr>
          <w:p w:rsidR="0019392D" w:rsidRPr="008B6000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I-IV)</w:t>
            </w:r>
          </w:p>
        </w:tc>
        <w:tc>
          <w:tcPr>
            <w:tcW w:w="1825" w:type="dxa"/>
            <w:vAlign w:val="center"/>
          </w:tcPr>
          <w:p w:rsidR="0019392D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производства</w:t>
            </w:r>
          </w:p>
        </w:tc>
        <w:tc>
          <w:tcPr>
            <w:tcW w:w="2327" w:type="dxa"/>
            <w:vMerge/>
          </w:tcPr>
          <w:p w:rsidR="0019392D" w:rsidRDefault="0019392D" w:rsidP="005E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19392D" w:rsidRDefault="0019392D" w:rsidP="005E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92D" w:rsidTr="005E10C2">
        <w:tc>
          <w:tcPr>
            <w:tcW w:w="528" w:type="dxa"/>
          </w:tcPr>
          <w:p w:rsidR="0019392D" w:rsidRDefault="0019392D" w:rsidP="005E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19392D" w:rsidRDefault="0019392D" w:rsidP="005E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19392D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9392D" w:rsidRDefault="0019392D" w:rsidP="005E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19392D" w:rsidRDefault="0019392D" w:rsidP="005E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19392D" w:rsidRDefault="0019392D" w:rsidP="005E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19392D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19392D" w:rsidRDefault="0019392D" w:rsidP="005E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19392D" w:rsidRDefault="0019392D" w:rsidP="005E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92D" w:rsidTr="005E10C2">
        <w:tc>
          <w:tcPr>
            <w:tcW w:w="528" w:type="dxa"/>
          </w:tcPr>
          <w:p w:rsidR="0019392D" w:rsidRDefault="0019392D" w:rsidP="005E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19392D" w:rsidRDefault="0019392D" w:rsidP="005E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19392D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9392D" w:rsidRDefault="0019392D" w:rsidP="005E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19392D" w:rsidRDefault="0019392D" w:rsidP="005E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19392D" w:rsidRDefault="0019392D" w:rsidP="005E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19392D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19392D" w:rsidRDefault="0019392D" w:rsidP="005E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19392D" w:rsidRDefault="0019392D" w:rsidP="005E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92D" w:rsidTr="005E10C2">
        <w:tc>
          <w:tcPr>
            <w:tcW w:w="528" w:type="dxa"/>
          </w:tcPr>
          <w:p w:rsidR="0019392D" w:rsidRDefault="0019392D" w:rsidP="005E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19392D" w:rsidRDefault="0019392D" w:rsidP="005E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19392D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9392D" w:rsidRDefault="0019392D" w:rsidP="005E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19392D" w:rsidRDefault="0019392D" w:rsidP="005E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19392D" w:rsidRDefault="0019392D" w:rsidP="005E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19392D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19392D" w:rsidRDefault="0019392D" w:rsidP="005E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19392D" w:rsidRDefault="0019392D" w:rsidP="005E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92D" w:rsidTr="005E10C2">
        <w:tc>
          <w:tcPr>
            <w:tcW w:w="528" w:type="dxa"/>
          </w:tcPr>
          <w:p w:rsidR="0019392D" w:rsidRDefault="0019392D" w:rsidP="005E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19392D" w:rsidRDefault="0019392D" w:rsidP="005E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89" w:type="dxa"/>
          </w:tcPr>
          <w:p w:rsidR="0019392D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9392D" w:rsidRDefault="0019392D" w:rsidP="005E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19392D" w:rsidRDefault="0019392D" w:rsidP="005E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19392D" w:rsidRDefault="0019392D" w:rsidP="005E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5" w:type="dxa"/>
            <w:vAlign w:val="center"/>
          </w:tcPr>
          <w:p w:rsidR="0019392D" w:rsidRDefault="0019392D" w:rsidP="005E10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27" w:type="dxa"/>
          </w:tcPr>
          <w:p w:rsidR="0019392D" w:rsidRDefault="0019392D" w:rsidP="005E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19392D" w:rsidRDefault="0019392D" w:rsidP="005E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92D" w:rsidRDefault="0019392D" w:rsidP="0019392D">
      <w:pPr>
        <w:spacing w:line="360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392D" w:rsidRDefault="0019392D" w:rsidP="0019392D">
      <w:pPr>
        <w:spacing w:line="360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392D" w:rsidRDefault="0019392D" w:rsidP="0019392D">
      <w:pPr>
        <w:spacing w:line="360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19392D" w:rsidSect="00AB25D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19392D" w:rsidRPr="00525D2B" w:rsidRDefault="0019392D" w:rsidP="0019392D">
      <w:pPr>
        <w:spacing w:line="240" w:lineRule="atLeast"/>
        <w:ind w:left="3545" w:firstLine="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ПРИЛОЖЕНИЕ № 2</w:t>
      </w:r>
    </w:p>
    <w:p w:rsidR="0019392D" w:rsidRPr="00525D2B" w:rsidRDefault="0019392D" w:rsidP="0019392D">
      <w:pPr>
        <w:spacing w:line="360" w:lineRule="atLeast"/>
        <w:ind w:left="3545" w:firstLine="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25D2B">
        <w:rPr>
          <w:rFonts w:ascii="Times New Roman" w:eastAsia="Times New Roman" w:hAnsi="Times New Roman" w:cs="Times New Roman"/>
          <w:sz w:val="28"/>
          <w:szCs w:val="20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Порядку </w:t>
      </w:r>
      <w:r w:rsidRPr="00525D2B">
        <w:rPr>
          <w:rFonts w:ascii="Times New Roman" w:eastAsia="Times New Roman" w:hAnsi="Times New Roman" w:cs="Times New Roman"/>
          <w:sz w:val="28"/>
          <w:szCs w:val="20"/>
        </w:rPr>
        <w:t>предоставления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лицами, выполняющими переоборудование, скидки владельцам транспортных средств на указанные работы</w:t>
      </w:r>
    </w:p>
    <w:p w:rsidR="0019392D" w:rsidRPr="00525D2B" w:rsidRDefault="0019392D" w:rsidP="0019392D">
      <w:pPr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0"/>
        </w:rPr>
      </w:pPr>
    </w:p>
    <w:p w:rsidR="0019392D" w:rsidRPr="00525D2B" w:rsidRDefault="0019392D" w:rsidP="0019392D">
      <w:pPr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0"/>
        </w:rPr>
      </w:pPr>
    </w:p>
    <w:p w:rsidR="0019392D" w:rsidRPr="00525D2B" w:rsidRDefault="0019392D" w:rsidP="0019392D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25D2B">
        <w:rPr>
          <w:rFonts w:ascii="Times New Roman" w:eastAsia="Times New Roman" w:hAnsi="Times New Roman" w:cs="Times New Roman"/>
          <w:b/>
          <w:sz w:val="28"/>
          <w:szCs w:val="20"/>
        </w:rPr>
        <w:t xml:space="preserve">Т </w:t>
      </w:r>
      <w:proofErr w:type="gramStart"/>
      <w:r w:rsidRPr="00525D2B">
        <w:rPr>
          <w:rFonts w:ascii="Times New Roman" w:eastAsia="Times New Roman" w:hAnsi="Times New Roman" w:cs="Times New Roman"/>
          <w:b/>
          <w:sz w:val="28"/>
          <w:szCs w:val="20"/>
        </w:rPr>
        <w:t>Р</w:t>
      </w:r>
      <w:proofErr w:type="gramEnd"/>
      <w:r w:rsidRPr="00525D2B">
        <w:rPr>
          <w:rFonts w:ascii="Times New Roman" w:eastAsia="Times New Roman" w:hAnsi="Times New Roman" w:cs="Times New Roman"/>
          <w:b/>
          <w:sz w:val="28"/>
          <w:szCs w:val="20"/>
        </w:rPr>
        <w:t xml:space="preserve"> Е Б О В А Н И Я</w:t>
      </w:r>
    </w:p>
    <w:p w:rsidR="0019392D" w:rsidRPr="00525D2B" w:rsidRDefault="0019392D" w:rsidP="0019392D">
      <w:pPr>
        <w:spacing w:line="120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9392D" w:rsidRPr="00525D2B" w:rsidRDefault="0019392D" w:rsidP="0019392D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25D2B">
        <w:rPr>
          <w:rFonts w:ascii="Times New Roman" w:eastAsia="Times New Roman" w:hAnsi="Times New Roman" w:cs="Times New Roman"/>
          <w:b/>
          <w:sz w:val="28"/>
          <w:szCs w:val="20"/>
        </w:rPr>
        <w:t>к используемому газобаллонному оборудованию, его компонентам,</w:t>
      </w:r>
    </w:p>
    <w:p w:rsidR="0019392D" w:rsidRPr="00525D2B" w:rsidRDefault="0019392D" w:rsidP="0019392D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25D2B">
        <w:rPr>
          <w:rFonts w:ascii="Times New Roman" w:eastAsia="Times New Roman" w:hAnsi="Times New Roman" w:cs="Times New Roman"/>
          <w:b/>
          <w:sz w:val="28"/>
          <w:szCs w:val="20"/>
        </w:rPr>
        <w:t>комплектующим и выполняемым работам по переоборудованию транспортных средств на использование природного газа (метана)</w:t>
      </w:r>
    </w:p>
    <w:p w:rsidR="0019392D" w:rsidRPr="00525D2B" w:rsidRDefault="0019392D" w:rsidP="0019392D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25D2B">
        <w:rPr>
          <w:rFonts w:ascii="Times New Roman" w:eastAsia="Times New Roman" w:hAnsi="Times New Roman" w:cs="Times New Roman"/>
          <w:b/>
          <w:sz w:val="28"/>
          <w:szCs w:val="20"/>
        </w:rPr>
        <w:t>в качестве моторного топлива</w:t>
      </w:r>
    </w:p>
    <w:p w:rsidR="0019392D" w:rsidRPr="00525D2B" w:rsidRDefault="0019392D" w:rsidP="0019392D">
      <w:pPr>
        <w:spacing w:line="360" w:lineRule="atLeast"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9392D" w:rsidRPr="00525D2B" w:rsidRDefault="0019392D" w:rsidP="0019392D">
      <w:pPr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525D2B">
        <w:rPr>
          <w:rFonts w:ascii="Times New Roman" w:eastAsia="Times New Roman" w:hAnsi="Times New Roman" w:cs="Times New Roman"/>
          <w:sz w:val="28"/>
          <w:szCs w:val="20"/>
        </w:rPr>
        <w:t>1. Требования к используемому газобаллонному оборудованию, его компонентам и комплектующим (далее - оборудование):</w:t>
      </w:r>
    </w:p>
    <w:p w:rsidR="0019392D" w:rsidRPr="00525D2B" w:rsidRDefault="0019392D" w:rsidP="0019392D">
      <w:pPr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525D2B">
        <w:rPr>
          <w:rFonts w:ascii="Times New Roman" w:eastAsia="Times New Roman" w:hAnsi="Times New Roman" w:cs="Times New Roman"/>
          <w:sz w:val="28"/>
          <w:szCs w:val="20"/>
        </w:rPr>
        <w:t>соответствие типа газобаллонного оборудования требованиям Правил Европейской экономической к</w:t>
      </w:r>
      <w:r>
        <w:rPr>
          <w:rFonts w:ascii="Times New Roman" w:eastAsia="Times New Roman" w:hAnsi="Times New Roman" w:cs="Times New Roman"/>
          <w:sz w:val="28"/>
          <w:szCs w:val="20"/>
        </w:rPr>
        <w:t>омиссии ООН (ЕЭК ООН № 115-02) «</w:t>
      </w:r>
      <w:r w:rsidRPr="00525D2B">
        <w:rPr>
          <w:rFonts w:ascii="Times New Roman" w:eastAsia="Times New Roman" w:hAnsi="Times New Roman" w:cs="Times New Roman"/>
          <w:sz w:val="28"/>
          <w:szCs w:val="20"/>
        </w:rPr>
        <w:t xml:space="preserve">Единообразные предписания, касающиеся официального утверждения специальных модифицированных систем </w:t>
      </w:r>
      <w:proofErr w:type="spellStart"/>
      <w:r w:rsidRPr="00525D2B">
        <w:rPr>
          <w:rFonts w:ascii="Times New Roman" w:eastAsia="Times New Roman" w:hAnsi="Times New Roman" w:cs="Times New Roman"/>
          <w:sz w:val="28"/>
          <w:szCs w:val="20"/>
        </w:rPr>
        <w:t>спг</w:t>
      </w:r>
      <w:proofErr w:type="spellEnd"/>
      <w:r w:rsidRPr="00525D2B">
        <w:rPr>
          <w:rFonts w:ascii="Times New Roman" w:eastAsia="Times New Roman" w:hAnsi="Times New Roman" w:cs="Times New Roman"/>
          <w:sz w:val="28"/>
          <w:szCs w:val="20"/>
        </w:rPr>
        <w:t xml:space="preserve"> (сжатый природный газ), предназначенных для установки на механических транспортных средствах, в двигателях ко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торых используется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спг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525D2B">
        <w:rPr>
          <w:rFonts w:ascii="Times New Roman" w:eastAsia="Times New Roman" w:hAnsi="Times New Roman" w:cs="Times New Roman"/>
          <w:sz w:val="28"/>
          <w:szCs w:val="20"/>
        </w:rPr>
        <w:t>, подтвержденное сертификатом соответствия;</w:t>
      </w:r>
      <w:proofErr w:type="gramEnd"/>
    </w:p>
    <w:p w:rsidR="0019392D" w:rsidRPr="00525D2B" w:rsidRDefault="0019392D" w:rsidP="0019392D">
      <w:pPr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525D2B">
        <w:rPr>
          <w:rFonts w:ascii="Times New Roman" w:eastAsia="Times New Roman" w:hAnsi="Times New Roman" w:cs="Times New Roman"/>
          <w:sz w:val="28"/>
          <w:szCs w:val="20"/>
        </w:rPr>
        <w:t>соответствие использованных элементов (компонентов) оборудования требованиям Правил Европейской экономическо</w:t>
      </w:r>
      <w:r>
        <w:rPr>
          <w:rFonts w:ascii="Times New Roman" w:eastAsia="Times New Roman" w:hAnsi="Times New Roman" w:cs="Times New Roman"/>
          <w:sz w:val="28"/>
          <w:szCs w:val="20"/>
        </w:rPr>
        <w:t>й комисс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ии ОО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Н (ЕЭК ООН № 110) «</w:t>
      </w:r>
      <w:r w:rsidRPr="00525D2B">
        <w:rPr>
          <w:rFonts w:ascii="Times New Roman" w:eastAsia="Times New Roman" w:hAnsi="Times New Roman" w:cs="Times New Roman"/>
          <w:bCs/>
          <w:sz w:val="28"/>
          <w:szCs w:val="20"/>
        </w:rPr>
        <w:t xml:space="preserve">Единообразные предписания, касающиеся официального утверждения: </w:t>
      </w:r>
      <w:proofErr w:type="gramStart"/>
      <w:r w:rsidRPr="00525D2B">
        <w:rPr>
          <w:rFonts w:ascii="Times New Roman" w:eastAsia="Times New Roman" w:hAnsi="Times New Roman" w:cs="Times New Roman"/>
          <w:sz w:val="28"/>
          <w:szCs w:val="20"/>
        </w:rPr>
        <w:t>I. элементов специального оборудования механических транспортных средств, двигатели которых работают на компримированном природном газе (КПГ) и/или сжиженном природном газе (СПГ) II. транспортных средств в отношении установки элементов специального оборудования официально утвержденного типа для использования в их двигателях компримированного природного газа (КПГ) и/или сжиженного природного газа (СПГ)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>»</w:t>
      </w:r>
      <w:r w:rsidRPr="00525D2B">
        <w:rPr>
          <w:rFonts w:ascii="Times New Roman" w:eastAsia="Times New Roman" w:hAnsi="Times New Roman" w:cs="Times New Roman"/>
          <w:sz w:val="28"/>
          <w:szCs w:val="20"/>
        </w:rPr>
        <w:t>, подтвержденное сертификатом соответствия;</w:t>
      </w:r>
      <w:proofErr w:type="gramEnd"/>
    </w:p>
    <w:p w:rsidR="0019392D" w:rsidRPr="00525D2B" w:rsidRDefault="0019392D" w:rsidP="0019392D">
      <w:pPr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525D2B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оборудование должно быть новым (ранее не бывшим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25D2B">
        <w:rPr>
          <w:rFonts w:ascii="Times New Roman" w:eastAsia="Times New Roman" w:hAnsi="Times New Roman" w:cs="Times New Roman"/>
          <w:sz w:val="28"/>
          <w:szCs w:val="20"/>
        </w:rPr>
        <w:t>в употреблении);</w:t>
      </w:r>
    </w:p>
    <w:p w:rsidR="0019392D" w:rsidRPr="00525D2B" w:rsidRDefault="0019392D" w:rsidP="0019392D">
      <w:pPr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525D2B">
        <w:rPr>
          <w:rFonts w:ascii="Times New Roman" w:eastAsia="Times New Roman" w:hAnsi="Times New Roman" w:cs="Times New Roman"/>
          <w:sz w:val="28"/>
          <w:szCs w:val="20"/>
        </w:rPr>
        <w:t xml:space="preserve">газовый баллон должен </w:t>
      </w:r>
      <w:r w:rsidRPr="00723F6D">
        <w:rPr>
          <w:rFonts w:ascii="Times New Roman" w:eastAsia="Times New Roman" w:hAnsi="Times New Roman" w:cs="Times New Roman"/>
          <w:sz w:val="28"/>
          <w:szCs w:val="20"/>
        </w:rPr>
        <w:t>быть выпущен не ранее чем за 18 месяцев до 1 января текущего года</w:t>
      </w:r>
      <w:r w:rsidRPr="00525D2B">
        <w:rPr>
          <w:rFonts w:ascii="Times New Roman" w:eastAsia="Times New Roman" w:hAnsi="Times New Roman" w:cs="Times New Roman"/>
          <w:sz w:val="28"/>
          <w:szCs w:val="20"/>
        </w:rPr>
        <w:t>, и должен быть оснащен автоматическим вентилем с предохранительным устройством;</w:t>
      </w:r>
    </w:p>
    <w:p w:rsidR="0019392D" w:rsidRPr="00525D2B" w:rsidRDefault="0019392D" w:rsidP="0019392D">
      <w:pPr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525D2B">
        <w:rPr>
          <w:rFonts w:ascii="Times New Roman" w:eastAsia="Times New Roman" w:hAnsi="Times New Roman" w:cs="Times New Roman"/>
          <w:sz w:val="28"/>
          <w:szCs w:val="20"/>
        </w:rPr>
        <w:t xml:space="preserve">газовый баллон должен быть отечественного производства для баллона </w:t>
      </w:r>
      <w:r w:rsidRPr="00525D2B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типа - начиная с 202</w:t>
      </w:r>
      <w:r w:rsidRPr="00723F6D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525D2B">
        <w:rPr>
          <w:rFonts w:ascii="Times New Roman" w:eastAsia="Times New Roman" w:hAnsi="Times New Roman" w:cs="Times New Roman"/>
          <w:sz w:val="28"/>
          <w:szCs w:val="20"/>
        </w:rPr>
        <w:t xml:space="preserve"> года, для баллона </w:t>
      </w:r>
      <w:r w:rsidRPr="00525D2B">
        <w:rPr>
          <w:rFonts w:ascii="Times New Roman" w:eastAsia="Times New Roman" w:hAnsi="Times New Roman" w:cs="Times New Roman"/>
          <w:sz w:val="28"/>
          <w:szCs w:val="20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типа - начиная с 202</w:t>
      </w:r>
      <w:r w:rsidRPr="006D10C4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525D2B">
        <w:rPr>
          <w:rFonts w:ascii="Times New Roman" w:eastAsia="Times New Roman" w:hAnsi="Times New Roman" w:cs="Times New Roman"/>
          <w:sz w:val="28"/>
          <w:szCs w:val="20"/>
        </w:rPr>
        <w:t xml:space="preserve"> года, для баллона </w:t>
      </w:r>
      <w:r w:rsidRPr="00525D2B">
        <w:rPr>
          <w:rFonts w:ascii="Times New Roman" w:eastAsia="Times New Roman" w:hAnsi="Times New Roman" w:cs="Times New Roman"/>
          <w:sz w:val="28"/>
          <w:szCs w:val="20"/>
          <w:lang w:val="en-US"/>
        </w:rPr>
        <w:t>III</w:t>
      </w:r>
      <w:r w:rsidRPr="00525D2B">
        <w:rPr>
          <w:rFonts w:ascii="Times New Roman" w:eastAsia="Times New Roman" w:hAnsi="Times New Roman" w:cs="Times New Roman"/>
          <w:sz w:val="28"/>
          <w:szCs w:val="20"/>
        </w:rPr>
        <w:t xml:space="preserve"> типа - начиная с 2020 года.</w:t>
      </w:r>
    </w:p>
    <w:p w:rsidR="0019392D" w:rsidRPr="00525D2B" w:rsidRDefault="0019392D" w:rsidP="0019392D">
      <w:pPr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525D2B">
        <w:rPr>
          <w:rFonts w:ascii="Times New Roman" w:eastAsia="Times New Roman" w:hAnsi="Times New Roman" w:cs="Times New Roman"/>
          <w:sz w:val="28"/>
          <w:szCs w:val="20"/>
        </w:rPr>
        <w:t xml:space="preserve">2. Требование к иным комплектующим - при </w:t>
      </w:r>
      <w:proofErr w:type="spellStart"/>
      <w:r w:rsidRPr="00525D2B">
        <w:rPr>
          <w:rFonts w:ascii="Times New Roman" w:eastAsia="Times New Roman" w:hAnsi="Times New Roman" w:cs="Times New Roman"/>
          <w:sz w:val="28"/>
          <w:szCs w:val="20"/>
        </w:rPr>
        <w:t>ремоторизации</w:t>
      </w:r>
      <w:proofErr w:type="spellEnd"/>
      <w:r w:rsidRPr="00525D2B">
        <w:rPr>
          <w:rFonts w:ascii="Times New Roman" w:eastAsia="Times New Roman" w:hAnsi="Times New Roman" w:cs="Times New Roman"/>
          <w:sz w:val="28"/>
          <w:szCs w:val="20"/>
        </w:rPr>
        <w:t xml:space="preserve"> транспортного средства устанавливаемый двигатель должен быть новым (ранее не бывшим в употреблении)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предназначенным для работы на природном газе </w:t>
      </w:r>
      <w:r w:rsidRPr="00525D2B">
        <w:rPr>
          <w:rFonts w:ascii="Times New Roman" w:eastAsia="Times New Roman" w:hAnsi="Times New Roman" w:cs="Times New Roman"/>
          <w:sz w:val="28"/>
          <w:szCs w:val="20"/>
        </w:rPr>
        <w:t xml:space="preserve"> и произведенным на территории Российской Федерации.</w:t>
      </w:r>
    </w:p>
    <w:p w:rsidR="0019392D" w:rsidRPr="00525D2B" w:rsidRDefault="0019392D" w:rsidP="0019392D">
      <w:pPr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525D2B">
        <w:rPr>
          <w:rFonts w:ascii="Times New Roman" w:eastAsia="Times New Roman" w:hAnsi="Times New Roman" w:cs="Times New Roman"/>
          <w:sz w:val="28"/>
          <w:szCs w:val="20"/>
        </w:rPr>
        <w:t>3. Требования к выполняемым работам по переоборудованию транспортных средств на использование природного газа в качестве моторного топлива:</w:t>
      </w:r>
    </w:p>
    <w:p w:rsidR="0019392D" w:rsidRPr="00525D2B" w:rsidRDefault="0019392D" w:rsidP="0019392D">
      <w:pPr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525D2B">
        <w:rPr>
          <w:rFonts w:ascii="Times New Roman" w:eastAsia="Times New Roman" w:hAnsi="Times New Roman" w:cs="Times New Roman"/>
          <w:sz w:val="28"/>
          <w:szCs w:val="20"/>
        </w:rPr>
        <w:t>работы должны выполняться в соответствии с требованиями техническог</w:t>
      </w:r>
      <w:r>
        <w:rPr>
          <w:rFonts w:ascii="Times New Roman" w:eastAsia="Times New Roman" w:hAnsi="Times New Roman" w:cs="Times New Roman"/>
          <w:sz w:val="28"/>
          <w:szCs w:val="20"/>
        </w:rPr>
        <w:t>о регламента Таможенного союза «</w:t>
      </w:r>
      <w:r w:rsidRPr="00525D2B">
        <w:rPr>
          <w:rFonts w:ascii="Times New Roman" w:eastAsia="Times New Roman" w:hAnsi="Times New Roman" w:cs="Times New Roman"/>
          <w:sz w:val="28"/>
          <w:szCs w:val="20"/>
        </w:rPr>
        <w:t>О безопасност</w:t>
      </w:r>
      <w:r>
        <w:rPr>
          <w:rFonts w:ascii="Times New Roman" w:eastAsia="Times New Roman" w:hAnsi="Times New Roman" w:cs="Times New Roman"/>
          <w:sz w:val="28"/>
          <w:szCs w:val="20"/>
        </w:rPr>
        <w:t>и колесных транспортных средств» и ГОСТ 31972-2013 «</w:t>
      </w:r>
      <w:r w:rsidRPr="00525D2B">
        <w:rPr>
          <w:rFonts w:ascii="Times New Roman" w:eastAsia="Times New Roman" w:hAnsi="Times New Roman" w:cs="Times New Roman"/>
          <w:sz w:val="28"/>
          <w:szCs w:val="20"/>
        </w:rPr>
        <w:t>Автомобильные транспортные средства. Порядок и процедуры методов контроля устано</w:t>
      </w:r>
      <w:r>
        <w:rPr>
          <w:rFonts w:ascii="Times New Roman" w:eastAsia="Times New Roman" w:hAnsi="Times New Roman" w:cs="Times New Roman"/>
          <w:sz w:val="28"/>
          <w:szCs w:val="20"/>
        </w:rPr>
        <w:t>вки газобаллонного оборудования»</w:t>
      </w:r>
      <w:r w:rsidRPr="00525D2B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19392D" w:rsidRPr="00525D2B" w:rsidRDefault="0019392D" w:rsidP="0019392D">
      <w:pPr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525D2B">
        <w:rPr>
          <w:rFonts w:ascii="Times New Roman" w:eastAsia="Times New Roman" w:hAnsi="Times New Roman" w:cs="Times New Roman"/>
          <w:sz w:val="28"/>
          <w:szCs w:val="20"/>
        </w:rPr>
        <w:t>минимальный гарантийный срок на выполняемые работы - 1 год или 30</w:t>
      </w:r>
      <w:r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525D2B">
        <w:rPr>
          <w:rFonts w:ascii="Times New Roman" w:eastAsia="Times New Roman" w:hAnsi="Times New Roman" w:cs="Times New Roman"/>
          <w:sz w:val="28"/>
          <w:szCs w:val="20"/>
        </w:rPr>
        <w:t>000 км (в зависимости от того, что наступит ранее);</w:t>
      </w:r>
    </w:p>
    <w:p w:rsidR="0019392D" w:rsidRPr="00525D2B" w:rsidRDefault="0019392D" w:rsidP="0019392D">
      <w:pPr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525D2B">
        <w:rPr>
          <w:rFonts w:ascii="Times New Roman" w:eastAsia="Times New Roman" w:hAnsi="Times New Roman" w:cs="Times New Roman"/>
          <w:sz w:val="28"/>
          <w:szCs w:val="20"/>
        </w:rPr>
        <w:t>проведение инструктажа владельца переоборудованного транспортного средства об особенностях эксплуатации и обслуживания т</w:t>
      </w:r>
      <w:r>
        <w:rPr>
          <w:rFonts w:ascii="Times New Roman" w:eastAsia="Times New Roman" w:hAnsi="Times New Roman" w:cs="Times New Roman"/>
          <w:sz w:val="28"/>
          <w:szCs w:val="20"/>
        </w:rPr>
        <w:t>акого транспортного средства.</w:t>
      </w:r>
    </w:p>
    <w:p w:rsidR="00C72AEA" w:rsidRDefault="00C72AEA">
      <w:bookmarkStart w:id="0" w:name="_GoBack"/>
      <w:bookmarkEnd w:id="0"/>
    </w:p>
    <w:sectPr w:rsidR="00C72AEA" w:rsidSect="00AB25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3F" w:rsidRDefault="00060D3F" w:rsidP="0019392D">
      <w:r>
        <w:separator/>
      </w:r>
    </w:p>
  </w:endnote>
  <w:endnote w:type="continuationSeparator" w:id="0">
    <w:p w:rsidR="00060D3F" w:rsidRDefault="00060D3F" w:rsidP="0019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3F" w:rsidRDefault="00060D3F" w:rsidP="0019392D">
      <w:r>
        <w:separator/>
      </w:r>
    </w:p>
  </w:footnote>
  <w:footnote w:type="continuationSeparator" w:id="0">
    <w:p w:rsidR="00060D3F" w:rsidRDefault="00060D3F" w:rsidP="0019392D">
      <w:r>
        <w:continuationSeparator/>
      </w:r>
    </w:p>
  </w:footnote>
  <w:footnote w:id="1">
    <w:p w:rsidR="0019392D" w:rsidRPr="00D70E15" w:rsidRDefault="0019392D" w:rsidP="001939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D70E15">
        <w:rPr>
          <w:rFonts w:ascii="Times New Roman" w:hAnsi="Times New Roman" w:cs="Times New Roman"/>
          <w:sz w:val="24"/>
          <w:szCs w:val="24"/>
        </w:rPr>
        <w:t xml:space="preserve">Указывается вид транспортного средства согласно </w:t>
      </w:r>
      <w:r>
        <w:rPr>
          <w:rFonts w:ascii="Times New Roman" w:hAnsi="Times New Roman" w:cs="Times New Roman"/>
          <w:sz w:val="24"/>
          <w:szCs w:val="24"/>
        </w:rPr>
        <w:t xml:space="preserve">классификации, указанной в </w:t>
      </w:r>
      <w:r w:rsidRPr="00D70E15">
        <w:rPr>
          <w:rFonts w:ascii="Times New Roman" w:hAnsi="Times New Roman" w:cs="Times New Roman"/>
          <w:sz w:val="24"/>
          <w:szCs w:val="24"/>
        </w:rPr>
        <w:t xml:space="preserve">Таблице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D70E15">
        <w:rPr>
          <w:rFonts w:ascii="Times New Roman" w:hAnsi="Times New Roman" w:cs="Times New Roman"/>
          <w:sz w:val="24"/>
          <w:szCs w:val="24"/>
        </w:rPr>
        <w:t xml:space="preserve">1 пункта 15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D70E15">
        <w:rPr>
          <w:rFonts w:ascii="Times New Roman" w:hAnsi="Times New Roman" w:cs="Times New Roman"/>
          <w:sz w:val="24"/>
          <w:szCs w:val="24"/>
        </w:rPr>
        <w:t xml:space="preserve"> предоставления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лицами, выполняющими такие работы, скидки владельцам транспортных средств на указанные работы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2D"/>
    <w:rsid w:val="00060D3F"/>
    <w:rsid w:val="0019392D"/>
    <w:rsid w:val="00C7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2D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9392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9392D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9392D"/>
    <w:rPr>
      <w:vertAlign w:val="superscript"/>
    </w:rPr>
  </w:style>
  <w:style w:type="table" w:styleId="a6">
    <w:name w:val="Table Grid"/>
    <w:basedOn w:val="a1"/>
    <w:uiPriority w:val="59"/>
    <w:rsid w:val="0019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2D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9392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9392D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9392D"/>
    <w:rPr>
      <w:vertAlign w:val="superscript"/>
    </w:rPr>
  </w:style>
  <w:style w:type="table" w:styleId="a6">
    <w:name w:val="Table Grid"/>
    <w:basedOn w:val="a1"/>
    <w:uiPriority w:val="59"/>
    <w:rsid w:val="0019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Цема</dc:creator>
  <cp:lastModifiedBy>Олег Цема</cp:lastModifiedBy>
  <cp:revision>1</cp:revision>
  <dcterms:created xsi:type="dcterms:W3CDTF">2021-10-25T16:37:00Z</dcterms:created>
  <dcterms:modified xsi:type="dcterms:W3CDTF">2021-10-25T16:39:00Z</dcterms:modified>
</cp:coreProperties>
</file>